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0" w:beforeAutospacing="0" w:after="0" w:afterAutospacing="0" w:line="540" w:lineRule="exact"/>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附件1</w:t>
      </w:r>
    </w:p>
    <w:p>
      <w:pPr>
        <w:snapToGrid w:val="0"/>
        <w:spacing w:before="0" w:beforeAutospacing="0" w:after="0" w:afterAutospacing="0" w:line="540" w:lineRule="exact"/>
        <w:jc w:val="center"/>
        <w:textAlignment w:val="baseline"/>
        <w:rPr>
          <w:rStyle w:val="5"/>
          <w:rFonts w:ascii="方正小标宋简体" w:hAnsi="方正小标宋简体" w:eastAsia="方正小标宋简体"/>
          <w:b w:val="0"/>
          <w:i w:val="0"/>
          <w:caps w:val="0"/>
          <w:spacing w:val="0"/>
          <w:w w:val="100"/>
          <w:kern w:val="2"/>
          <w:sz w:val="36"/>
          <w:szCs w:val="36"/>
          <w:lang w:val="en-US" w:eastAsia="zh-CN" w:bidi="ar-SA"/>
        </w:rPr>
      </w:pPr>
    </w:p>
    <w:p>
      <w:pPr>
        <w:snapToGrid w:val="0"/>
        <w:spacing w:before="0" w:beforeAutospacing="0" w:after="0" w:afterAutospacing="0" w:line="460" w:lineRule="exact"/>
        <w:ind w:left="0" w:leftChars="0" w:right="0" w:firstLineChars="0"/>
        <w:jc w:val="center"/>
        <w:textAlignment w:val="baseline"/>
        <w:rPr>
          <w:rStyle w:val="5"/>
          <w:rFonts w:ascii="方正小标宋_GBK" w:hAnsi="方正小标宋_GBK" w:eastAsia="方正小标宋_GBK"/>
          <w:b w:val="0"/>
          <w:i w:val="0"/>
          <w:caps w:val="0"/>
          <w:spacing w:val="0"/>
          <w:w w:val="100"/>
          <w:kern w:val="2"/>
          <w:sz w:val="44"/>
          <w:szCs w:val="44"/>
          <w:lang w:val="en-US" w:eastAsia="zh-CN" w:bidi="ar-SA"/>
        </w:rPr>
      </w:pPr>
      <w:r>
        <w:rPr>
          <w:rStyle w:val="5"/>
          <w:rFonts w:ascii="方正小标宋_GBK" w:hAnsi="方正小标宋_GBK" w:eastAsia="方正小标宋_GBK"/>
          <w:b w:val="0"/>
          <w:i w:val="0"/>
          <w:caps w:val="0"/>
          <w:spacing w:val="0"/>
          <w:w w:val="100"/>
          <w:kern w:val="2"/>
          <w:sz w:val="44"/>
          <w:szCs w:val="44"/>
          <w:lang w:val="en-US" w:eastAsia="zh-CN" w:bidi="ar-SA"/>
        </w:rPr>
        <w:t>山西省信访系统先进集体拟表彰名单</w:t>
      </w:r>
    </w:p>
    <w:p>
      <w:pPr>
        <w:snapToGrid w:val="0"/>
        <w:spacing w:before="0" w:beforeAutospacing="0" w:after="0" w:afterAutospacing="0" w:line="460" w:lineRule="exact"/>
        <w:ind w:left="0" w:leftChars="0" w:right="0" w:firstLineChars="0"/>
        <w:jc w:val="center"/>
        <w:textAlignment w:val="baseline"/>
        <w:rPr>
          <w:rStyle w:val="5"/>
          <w:rFonts w:ascii="楷体" w:hAnsi="楷体" w:eastAsia="楷体"/>
          <w:b w:val="0"/>
          <w:i w:val="0"/>
          <w:caps w:val="0"/>
          <w:spacing w:val="0"/>
          <w:w w:val="100"/>
          <w:kern w:val="2"/>
          <w:sz w:val="36"/>
          <w:szCs w:val="36"/>
          <w:lang w:val="en-US" w:eastAsia="zh-CN" w:bidi="ar-SA"/>
        </w:rPr>
      </w:pPr>
      <w:r>
        <w:rPr>
          <w:rStyle w:val="5"/>
          <w:rFonts w:ascii="楷体" w:hAnsi="楷体" w:eastAsia="楷体"/>
          <w:b w:val="0"/>
          <w:i w:val="0"/>
          <w:caps w:val="0"/>
          <w:spacing w:val="0"/>
          <w:w w:val="100"/>
          <w:kern w:val="2"/>
          <w:sz w:val="36"/>
          <w:szCs w:val="36"/>
          <w:lang w:val="en-US" w:eastAsia="zh-CN" w:bidi="ar-SA"/>
        </w:rPr>
        <w:t>（共33个）</w:t>
      </w:r>
    </w:p>
    <w:p>
      <w:pPr>
        <w:pStyle w:val="6"/>
        <w:snapToGrid/>
        <w:spacing w:before="0" w:beforeAutospacing="1" w:after="0" w:afterAutospacing="1" w:line="460" w:lineRule="exact"/>
        <w:ind w:left="0" w:leftChars="0" w:right="0" w:firstLineChars="0"/>
        <w:jc w:val="center"/>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0" w:beforeAutospacing="1" w:after="0" w:afterAutospacing="1" w:line="46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太 原 市</w:t>
      </w: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太原市信访局接待一科</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太原市信访局接待一科充分发挥了“党建引领业务”的关键性作用。党员干部坚强有力，团结协作，机构健全，制度完善,以“门好进、脸好看、话好听、事好办”的四好标准，通过线上积极推动和线下高位协调相结合等方式积极帮助来访群众现场或跟踪解决了1000多件疑难复杂、热点难点的信访问题。2018年-2022年共接待来访群众13129批次，44255人次，最大限度地化解了当前存在的群众最为关切的热点、难点和焦点问题。</w:t>
      </w:r>
    </w:p>
    <w:p>
      <w:pPr>
        <w:snapToGrid w:val="0"/>
        <w:spacing w:before="0" w:beforeAutospacing="0" w:after="0" w:afterAutospacing="0" w:line="540" w:lineRule="exact"/>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太原市中级人民法院立案二庭</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太原市中级人民法院中院立案二庭多年来，始终围绕“努力让人民群众在每一个司法案件中感受到公平正义”目标，坚持“人民信访为人民”的工作理念，聚焦群众申诉信访难点，严格诉访分离、规范流程、细化节点，坚持党建引领一条主线，创新七措并举闭环管理信访工作模式，架起密切党群关系的“连心桥”，建好信访矛盾纠纷的“化解站”，切实让群众感受到诉求有人理、事情有人办、处理有结果，多次收到群众感谢信、锦旗，得到了群众的充分肯定。</w:t>
      </w:r>
    </w:p>
    <w:p>
      <w:pPr>
        <w:snapToGrid w:val="0"/>
        <w:spacing w:before="0" w:beforeAutospacing="0" w:after="0" w:afterAutospacing="0" w:line="540" w:lineRule="exact"/>
        <w:jc w:val="center"/>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大 同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大同市信访局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大同市信访局坚持人民至上，稳字当头，全市信访形势呈现“网升访降”态势，网上信访“主渠道”成效明显。始终围绕加强和改进信访基层治理、化解信访积案，压实工作责任等，坚持抓重点、补短板、创特色、当标杆,切实提升工作水平,维护群众合法权益。近期，在全市范围内开展社会矛盾纠纷排查活动，共排查出各类矛盾纠纷5852件，已化解5641件，化解率96.39%。构建信访和公安信息共享、协同处置的工作模式，完善重要敏感信访信息“内外联动、上下互动、左右协调”的通报处置工作机制，实行每日“信访动态”报告，为完成全市信访工作提供了有力保障。</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大同市云州区信访局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大同市云州区信访局聚焦信访问题，创新推行“三四三”信访工作法，即，专题研究、专策应对、专人负责的“三专”机制，变被动接访为主动迎访、变群众上访为领导下访、变一局受理为多方化解、变常规推动为激励办法的“四变”方法，注重提升信访窗口形象、矛盾纠纷排查力度、信访积案化解“清仓”力度的“三个”提升，不断深化信访工作制度改革和机制创新，严格落实信访责任具体化、账目清单化，信访工作连续两年在大同市专项考核中排名第一，被山西省信访工作联席会议办公室通报表扬为“突出贡献单位”。中央信访联席会议交办的第一批集中治理重复访、化解信访积案58件，化解58件，化解率100%。</w:t>
      </w:r>
    </w:p>
    <w:p>
      <w:pPr>
        <w:snapToGrid w:val="0"/>
        <w:spacing w:before="0" w:beforeAutospacing="0" w:after="0" w:afterAutospacing="0" w:line="580" w:lineRule="exact"/>
        <w:ind w:left="0" w:leftChars="0" w:right="0"/>
        <w:jc w:val="center"/>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朔 州 市</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朔州市信访局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朔州市信访局牢记“为民解难、为党分忧”的职责使命，以服务保障党的二十大为主线，进一步建立完善信访工作机制，深入化解信访突出问题，在全国、全省“两会”等重大活动和重要时间节点期间实现了“确保三个不发生”和进京“零涉访”，强力推进了“重复信访治理、化解信访积案”专项工作，中央交办第二批信访积案176件实现了任务“清零”，化解率100%。朔州市信访形势持续平稳向好，总体信访工作保持了可喜局面，为助力朔州市打造“四大高地”建设现代化塞上绿都作出了积极贡献。</w:t>
      </w:r>
    </w:p>
    <w:p>
      <w:pPr>
        <w:pStyle w:val="6"/>
        <w:widowControl/>
        <w:snapToGrid/>
        <w:spacing w:before="312" w:beforeAutospacing="1" w:after="312" w:afterAutospacing="1" w:line="240" w:lineRule="auto"/>
        <w:jc w:val="left"/>
        <w:textAlignment w:val="baseline"/>
        <w:rPr>
          <w:rStyle w:val="5"/>
          <w:rFonts w:ascii="宋体" w:hAnsi="宋体" w:eastAsia="宋体"/>
          <w:b/>
          <w:i w:val="0"/>
          <w:caps w:val="0"/>
          <w:spacing w:val="0"/>
          <w:w w:val="100"/>
          <w:kern w:val="0"/>
          <w:sz w:val="27"/>
          <w:szCs w:val="27"/>
          <w:lang w:val="en-US" w:eastAsia="zh-CN"/>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忻 州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忻州市信访局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忻州市信访局信访工作总体考核连续多年位居全省第一方阵。注重信访法治宣传教育，采取信访权利义务必告知、信访法律法规必明释的“两必”宣传方式，引导群众依法逐级走访，信访秩序更加规范，信访渠道更加畅通，进京赴省上访态势逐年好转。有力地推动了546件疑难复杂信访事项的化解；出台的《忻州市乡镇级信访考评管理办法》，将越级访责任下沉到乡镇一级，从制度上严格规范信访秩序，锻造“信访工作铁军”。</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忻州市神池县信访局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神池县信访局抓好“五项重点任务”，认真开展“三项活动”，推动神池县信访工作高质高效发展，实现了关键节点“零涉访”和“三个不发生”工作目标。根据群众信访问题类别，组建了13个听证专家库，增设8个乡镇信访接待室，覆盖城乡建设、三农问题等13个方面。充分利用基层网格，以村（社区）党支部为单元，建立63个工作网络、设置网格长122名，专兼职网格员144名，辅助网格员160名，全面承担矛盾纠纷调处社会治理。</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忻州市公安局信访处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忻州市公安局信访处始终把解决信访问题与践行执法为民紧密结合起来，努力追求法律效果与社会效果统一。以“控新治旧”为主线，全面挂图作战，压实领导责任，实现多部门联动，最终形成合力，推动信访事项得以解决。紧紧围绕七个到位，即组织领导到位、工作措施到位、责任落实到位、解决问题到位、帮扶救助到位、教育稳控到位、依法打击到位等内容，每日盯办、每日研究，清单式推进，因工作方法得当，工作措施有效，全市公安机关信访工作成效显著。</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吕 梁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吕梁市中阳县信访局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中阳县信访局形成了“日提醒、周调度、月研判”、“全科网格治理”、公职律师“全流程参与”等一系列中阳特色的新时代信访工作模式。全县信访总量、赴省进京走访量实现五年双连降，并积极响应上级号召，选派332名懂农村事、知农村情、听农民声，能够“脚踩泥土”“深入垄沟”的“人民接访员”，实现涉农领域信访矛盾总量、占比“双下降”。开展重点领域信访突出问题专项治理，推动解决“搬迁入住难”问题209户、“企业改制养老难”问题317人，一大批群众反映强烈的急难愁盼问题得到妥善化解。</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吕梁市交城县信访局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交城县信访局坚持和加强党对信访工作的全面领导，围绕“清仓见底、控新治旧、降量退位”的工作目标，坚决扛起“为民解难、为党分忧”的政治责任，打好“优势牌”，始终保持争先进位的干劲；打好“服务牌”，扎实推进“三级书记”入户走访工作；打好“机制牌”，在全县各乡镇推广人民接访员制度，切实解决了群众关心的问题，化解了一大批疑难信访事项，信访工作持续向好，重大活动及敏感时间节点期间安全保障工作成绩突出、全面高效、成效明显，为交城县经济社会高质量发展营造了一个良好的社会环境。</w:t>
      </w:r>
    </w:p>
    <w:p>
      <w:pPr>
        <w:snapToGrid w:val="0"/>
        <w:spacing w:before="0" w:beforeAutospacing="0" w:after="0" w:afterAutospacing="0" w:line="580" w:lineRule="exact"/>
        <w:ind w:left="0" w:leftChars="0" w:right="0"/>
        <w:jc w:val="center"/>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晋 中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firstLineChars="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晋中市祁县信访局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祁县信访局以加快推进“六县建设”为目标，坚定不移推进党的建设，扎实开展重大节点信访保障、强力推进信访积案化解专项工作、深化信访制度改革、坚持信访事项“控新治旧”、提升“三率”指标和创建信访工作示范县等七项重点任务，推动全县信访秩序持续向好。中央联席会议办公室第一批、第二批交办的信访积案均已上报审核化解，审核化解率达到100%。同时主动防范化解各类涉访风险隐患，排查化解各类矛盾纠纷212件，化解率100%，努力营造和谐稳定的社会环境。</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晋中市劳动保障监察综合行政执法队</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晋中市劳动保障监察综合行政执法队坚持以人民为中心的发展思想，严格落实部省市关于农民工工资工作的部署要求，采取“日清周结月汇报”督查方式和实施“一周两调度”的通报方式，对治欠工作每日检点、每周排队、每月汇报,找准存在症结,坚持标本兼治,压实各方责任,全面查缺补漏、跟进检点落实,确保根治欠薪工作收到实效、任务圆满完成。创新构建和谐劳动关系，创新工作手段和方式方法，将所有劳动监察工作关口前移，主动服务，把工作重点由管理转向服务，由事后监督转为事前预防。2021年，晋中市各级劳动保障监察机构共检查用人单位2305户；补签劳动合同341人，建立完善了209个在建工程项目台账，切实将欠薪隐患风险化解在萌芽状态。</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阳 泉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阳泉市信访局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阳泉市信访局的信访工作考核连续6年保持全省前列。立足解决群众急难愁盼，着力深化改革创新，取得了“三保持三明显”的实绩实效。2019年，中央信访工作联席会议《简报》（第159期）专题刊发《突出依法及时就地，聚焦解决信访问题——山西阳泉市积极探索实践让群众“最多访一次”》，向中央信访工作联席会议成员单位，各省（区、市）及计划单列市信访工作联席会议推广阳泉市让群众“最多访一次”做法。2021年，省联席会议在全省推广了阳泉市“信访代理员”工作经验和做法。</w:t>
      </w:r>
    </w:p>
    <w:p>
      <w:pPr>
        <w:pStyle w:val="6"/>
        <w:snapToGrid/>
        <w:spacing w:before="0" w:beforeAutospacing="1" w:after="0" w:afterAutospacing="1" w:line="52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长 治 市</w:t>
      </w:r>
    </w:p>
    <w:p>
      <w:pPr>
        <w:snapToGrid/>
        <w:spacing w:before="0" w:beforeAutospacing="0" w:after="0" w:afterAutospacing="0" w:line="52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长治市信访局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长治市信访局聚焦新时代新要求，推动出台长治市《深入开展信访工作规范化建设指导意见（试行）》，创新制定符合新时代要求和长治实际的信访工作规范标准，针对“三到位一处理”，明确18条具体要求。认真落实领导干部“两访一包”制度，今年，市县两级领导领办疑难信访事项常态机制246件。扎实开展信访积案化解攻坚，深入推进信访矛盾源头治理和信访问题“控新治旧”，着力在体制机制上探索创新信访工作规范化建设长治模式，创新打造市县乡村四级矛盾纠纷多元化解平台，不断创新为民服务新成效，全市信访形势和信访秩序平稳向好，有力服务全方位推动高质量发展。</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长治市黎城县信访局</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黎城县信访局坚持处级领导接访制度化、领导包处重点信访事项清单化、处级领导下访常态化、信访工作法制宣传广泛化“四化”工作法，全力推进基层信访事项化解。全县信访总量、越访呈逐年下降态势，重复信访事项大幅减少，重要节点、重大活动秩序良好，为维护群众合法权益、维护社会和谐稳定做出了积极贡献。2020年、2021年连续2年在长治市对县信访工作专项考核中位列优秀等次；2021年5月，国家信访局授予长治市黎城县信访工作“三无”县荣誉称号。</w:t>
      </w:r>
    </w:p>
    <w:p>
      <w:pPr>
        <w:snapToGrid/>
        <w:spacing w:before="0" w:beforeAutospacing="0" w:after="0" w:afterAutospacing="0" w:line="580" w:lineRule="exact"/>
        <w:ind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spacing w:before="0" w:beforeAutospacing="0" w:after="0" w:afterAutospacing="0" w:line="580" w:lineRule="exact"/>
        <w:ind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长治市武乡县信访局</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近年来，武乡县信访局认真学习贯彻习近平总书记关于信访工作的重要指示和第九次全国信访工作会议精神，坚持党建引领，强化思想政治建设和信访工作队伍建设，以《信访工作条例》宣传贯彻为契机，以信访工作示范县创建为抓手，结合“大督查大接访大调研”专项活动、信访基础业务规范化建设等重点工作，深入推进治理重复信访、化解信访积案专项工作，以“时时放心不下”的责任感，扎实开展矛盾纠纷排查和信访积案化解工作，全力提升群众诉求办理效率和质量，着力促进社会和谐稳定。一是信访总量逐年下降；二是重要节点信访安全保障任务圆满完成；三是“集中治理重复信访、化解信访积案”专项工作成效显著，上级交办案件全部化解完成；四是信访工作规范化建设持续推进；五是信访渠道不断完善畅通；六是坚持和发展新时代“枫桥经验”，90%矛盾纠纷化解在了镇村一线。全县信访形势持续向好，总体平稳可控。</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晋 城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晋城市信访局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晋城市信访局坚持党建引领，落实信访稳定“5+1”责任制，强化领导包案和接访下访工作，推动“四级书记”抓信访；夯实基层基础，采取“七步跟进督办法”和“三色预警法”，提升信访事项办理质效，连续两年实现全市信访部门及时受理率、责任单位及时受理率、按期答复率三个100%，连续三年荣获全省信访工作考核优秀等次，连续三年获晋城市目标责任考核优秀单位，为全方位推动高质量发展建设共同富裕新晋城作出了突出贡献。</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临 汾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临汾市信访局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临汾市信访局深入推进信访工作制度改革，推动信访工作在2021年取得全省考核第一的优异成绩。全市157个乡镇（街道）全部建立了信访工作联席会议机制，应急处置的信访矛盾综合治理机制构建持续加快。吉县、古县、隰县相继荣获全国信访工作三无县、示范县称号。采取“八个了”工作法，即接了、记了、分了、问了、担了、定了、办了、了了，实现信访件流转可查询、处置可监督、结果可追溯，形成上下联动、一贯到底的信访工作闭环管理机制。</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临汾市洪洞县信访局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洪洞县信访局本着“务实、高效、科学、有力”的原则，规范各级接待场所走访工作流程，紧扣登记、接谈、转送、盯办、督办五个工作环节，对信访事项跟踪督办，通过电话询问、发函提醒、实地督导等方式，严格落实首办责任制，谁接访、谁跟办，及时了解责任单位办理信访事项进展情况，紧盯不放、一盯到底，直至问题解决，并要求责任单位将处理结果反馈答复信访群众。形成工作合力，实现全县信访系统“一盘棋”的良好局面。</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临汾市公安局直属分局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临汾市公安局直属分局，深入开展信访积案化解行动、信访领域风险隐患大排查大起底大化解专项行动，大力加强矛盾纠纷排查化解机制，落实重点群体和重点人员教育稳控措施，及时有效解决公安信访问题，完成信访案（事）件1119起，协助相关部门妥善处置市委、市政府、市纪委大门口群体性上访事件500余起，使信访案件解决在基层，为维护全市和谐稳定的政治社会环境做出积极贡献。</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运城市</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运城市垣曲县信访局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垣曲县信访局切实履行化解信访突出问题、维护群众合法权益、促进社会和谐稳定的职责使命，全县信访形势持续向好，实现了四个百分之百目标（即信访事项及时受理率100%，信访事项按期办结率100%，排查的信访矛盾纠纷化解率100%，国家、省、市第一批、第二批交办的重复信访案件化解汇报率100%），全县信访工作被运城市信访工作联席办评为优秀档次，集中治理重复信访、化解信访积案专项工作中作为“突出贡献单位”。</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运城市稷山县信访局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稷山县信访局强化源头治理，紧盯积案化解，接访处访工作质效大幅度提高，信访积案化解和重复访治理成效明显、预警处置和源头治理能力显著提高，全县连续多年实现赴京“零非访”、赴省“零群访”、很少“越级访”的工作目标，信访工作总体形势平稳向好。全县总结推广的《把好五关抓信访，矛盾化解在基层》经验做法在《山西信访》经验交流栏目长篇刊登，并在全省推广。“多位一体联合办案，集中力量攻坚克难”的经验做法在全国《人民信访》杂志刊登推广。</w:t>
      </w:r>
    </w:p>
    <w:p>
      <w:pPr>
        <w:snapToGrid w:val="0"/>
        <w:spacing w:before="0" w:beforeAutospacing="0" w:after="0" w:afterAutospacing="0" w:line="580" w:lineRule="exact"/>
        <w:ind w:left="0" w:leftChars="0" w:right="0"/>
        <w:jc w:val="center"/>
        <w:textAlignment w:val="baseline"/>
        <w:rPr>
          <w:rStyle w:val="5"/>
          <w:rFonts w:ascii="仿宋_GB2312" w:hAnsi="仿宋_GB2312" w:eastAsia="仿宋_GB2312"/>
          <w:b w:val="0"/>
          <w:i w:val="0"/>
          <w:caps w:val="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省 直 单 位</w:t>
      </w: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山西省政协办公厅信访处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政协办公厅信访处圆满完成了全省“两会”和历次常委会期间信访任务、省政协庆祝建党100周年信访安全保障工作任务。总结“三个结合三个确保”的工作方法，一是会上与会下相结合，基本上做到了早发现、早处置，防患于未然；二是会前会中巡查与全天值班相结合，确保会场和委员驻地安全稳定；三是及时疏散与快速应急相结合，确保周围环境秩序井然。没有出现任何纰漏，没有造成任何不良影响。</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山西省委政法委案件督办处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委政法委案件督办处对重点案件进行督办、转办，对群众反映强烈的信件及时转办，探索开发全省涉法涉诉案件信息化管理平台，多措并举凝聚依法治访工作合力。围绕全国“两会”、党的二十大等重要时间节点，进一步贯彻落实中央政法委在政法工作中做好“三同步”工作的要求，在重大敏感案事件的应对处置中，牢牢把握主动权主导权，全力推动全省涉法涉诉信访工作，忠诚履职尽责，积极担当作为，为推动高质量发展营造良好社会环境作出贡献。</w:t>
      </w:r>
    </w:p>
    <w:p>
      <w:pPr>
        <w:snapToGrid w:val="0"/>
        <w:spacing w:before="0" w:beforeAutospacing="0" w:after="0" w:afterAutospacing="0" w:line="580" w:lineRule="exact"/>
        <w:ind w:right="0"/>
        <w:jc w:val="left"/>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p>
    <w:p>
      <w:pPr>
        <w:snapToGrid w:val="0"/>
        <w:spacing w:before="0" w:beforeAutospacing="0" w:after="0" w:afterAutospacing="0" w:line="580" w:lineRule="exact"/>
        <w:ind w:right="0"/>
        <w:jc w:val="left"/>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 xml:space="preserve">山西省公安厅信访处 </w:t>
      </w:r>
      <w:r>
        <w:rPr>
          <w:rStyle w:val="5"/>
          <w:rFonts w:ascii="仿宋_GB2312" w:hAnsi="仿宋_GB2312" w:eastAsia="仿宋_GB2312"/>
          <w:b w:val="0"/>
          <w:bCs w:val="0"/>
          <w:i w:val="0"/>
          <w:caps w:val="0"/>
          <w:color w:val="000000"/>
          <w:spacing w:val="0"/>
          <w:w w:val="100"/>
          <w:kern w:val="2"/>
          <w:sz w:val="32"/>
          <w:szCs w:val="32"/>
          <w:lang w:val="en-US" w:eastAsia="zh-CN" w:bidi="ar-SA"/>
        </w:rPr>
        <w:t xml:space="preserve">                                </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近年来，省公安厅信访处全面贯彻习近平总书记关于加强和改进人民信访工作的重要思想，在厅党委的坚强领导下，在公安部督察审计局、省信访局的精心指导下，着力“减存量、控增量、防变量、提质量”，全警动员、迎难而上、真抓实干、攻坚克难，山西公安信访工作迈入了全国前列，得到了公安部、省信访局的充分肯定。一是全面加强初信初访办理。压实主体责任，以“最多访一次”、易事快办、急事急办、特事特办的标准，积极办理群众赴部到省走访事项，办结率达97.4%。二是认真组织开展信访积案攻坚化解专项工作。公安部交办我省2784起疑难信访案件，化解2782起，化解率99.92%，位居全国前列；公安部第二批挂牌整治的我省937起疑难信访案件已全部清零、33个县（市、区）全部摘牌退出；公安部第三批挂牌整治的单位无我省相关县（市、区）。三是全力做好重要敏感时期信访安全保障工作。重要敏感时期启动战时管控机制，对可能赴省进京的集体访、极端访，严格落实属地稳控责任和源头稳控措施，做到盯死看牢，严防漏管失控，实现了“六个确保、三个防止”工作目标。</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山西省司法厅办公室（信访处）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司法厅办公室（信访处）坚决扛起信访稳定的重大责任，确保了该系统三年来无进京非访登记，未出现群体性事件、涉访极端事件和舆情炒作事件。全面开展“大督查大接访大调研活动”，落实领导包案，狠抓信访矛盾源头治理，全力保障信访安全稳定。多次组织召开专题会议，研究重要信访事项，圆满完成中央信访联席办交办的重复信访事项上报化解工作。积极探索律师参与涉法涉诉信访新举措。</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山西省农业农村厅办公室</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农业农村厅自集中治理重复信访、化解信访积案专项工作开展以来，加强与相关成员单位沟通协调，对接属地有关单位，合力高质高效化解信访积案交办件。先后制定了《山西省农业厅信访工作责任制》等制度办法。近几年共接待农业农村领域来访群众2373人次，化解信访难题10115件。农业农村领域信访量逐年下降，农民群众满意度普遍提升。</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山西省退役军人事务厅思想政治和权益维护处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退役军人事务厅思想政治和权益维护处始终树立以退役军人为中心的理念，坚决维护退役军人合法权益。2021年进京访数量由2020年第三位退至第十八位，2022年省信访局交办重复信访积案，100%化解到位，赴省信访总量大幅度减少。近对符合政策的历史遗留问题积极协调，不放弃、不推诿，成功解决历史遗留问题10余件，受到退役军人及其家属一致好评。全省县级以上退役军人事务部门均建立信访接待大厅，配齐信访接待人员，为退役军人反映问题、沟通交流搭建桥梁纽带。</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山西省国资委信访综合处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国资委信访综合处着眼“控增减存防变”，对标“三个不发生”目标，努力攻坚克难，用心用情躬身实践为群众办实事。共审核办理转送案件7553件，交办案件590件，督办案件259件，接待群众走访1106批、6148人次，承办12345热线事项4000余条，按期答复率、办结率均实现100%，以省属企业稳助力全省稳，全省信访工作年度专项考核持续保持“优秀”等次，10余次受到省信访联席办、省人大常委会通报表扬。</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山西省总工会职工服务中心</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总工会职工服务中心按照“三到位一处理”的指导方针和工作要求，构建工会信访工作体系，综合利用12351职工服务热线、信访接待窗口、法律咨询窗口、舆情监测等平台资源，监测劳动关系风险隐患，快速有效掌控苗头性、倾向性信息，跟踪干预，及时处置，维护职工合法权益。从2018年开始，在全省工会系统建立了100家省级职工心理健康咨询示范基地，初步建成我省工会系统的心理健康服务体系。</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山西省信访局驻京信访处</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信访局驻京信访处认真贯彻落实省委省政府决策部署，统筹推进疫情防控和驻京信访安全保障工作，推动山西驻京信访工作进入全国第一方阵，彰显了山西担当。先后被授予“全省先进基层党组织”“平安山西建设先进集体”等光荣称号。坚持深度推进党建与业务融合，打造了一支政治、责任、作风、能力“四过硬”的驻京信访干部队伍。创建“1小时到位、3小时劝离”、法治宣传和谈话登记、闭环管理等多项工作机制，推送督办化解进京涉访事项1840余件次。多次受到中央信访联席会议、国家信访局表扬。</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太原市公安局迎泽分局劲松派出所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太原市公安局迎泽分局劲松派出所始终把“对党忠诚、服务人民、执法公正、纪律严明”的总要求作为建警治警的总方略，以维护政治安全和信访维稳秩序工作为重点，有效维护党政机关及周边的安全稳定。在省信访局一处维持群体信访秩序354批次，8351人次，未发生有影响的案事件，未发生引发媒体炒作的舆情，收缴标语横幅35条，处置极端上访6例，有力保障了信访接待场所秩序。</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太原市公安局小店分局梅山派出所</w:t>
      </w:r>
    </w:p>
    <w:p>
      <w:pPr>
        <w:snapToGrid w:val="0"/>
        <w:spacing w:before="0" w:beforeAutospacing="0" w:after="0" w:afterAutospacing="0" w:line="580" w:lineRule="exact"/>
        <w:ind w:left="0" w:leftChars="0" w:right="0" w:firstLine="640" w:firstLineChars="200"/>
        <w:jc w:val="both"/>
        <w:textAlignment w:val="baseline"/>
      </w:pPr>
      <w:r>
        <w:rPr>
          <w:rStyle w:val="5"/>
          <w:rFonts w:ascii="仿宋_GB2312" w:hAnsi="仿宋_GB2312" w:eastAsia="仿宋_GB2312"/>
          <w:b w:val="0"/>
          <w:bCs w:val="0"/>
          <w:i w:val="0"/>
          <w:caps w:val="0"/>
          <w:color w:val="000000"/>
          <w:spacing w:val="0"/>
          <w:w w:val="100"/>
          <w:kern w:val="2"/>
          <w:sz w:val="32"/>
          <w:szCs w:val="32"/>
          <w:lang w:val="en-US" w:eastAsia="zh-CN" w:bidi="ar-SA"/>
        </w:rPr>
        <w:t>太原市公安局小店分局梅山派出所以习近平</w:t>
      </w:r>
      <w:bookmarkStart w:id="0" w:name="_GoBack"/>
      <w:bookmarkEnd w:id="0"/>
      <w:r>
        <w:rPr>
          <w:rStyle w:val="5"/>
          <w:rFonts w:ascii="仿宋_GB2312" w:hAnsi="仿宋_GB2312" w:eastAsia="仿宋_GB2312"/>
          <w:b w:val="0"/>
          <w:bCs w:val="0"/>
          <w:i w:val="0"/>
          <w:caps w:val="0"/>
          <w:color w:val="000000"/>
          <w:spacing w:val="0"/>
          <w:w w:val="100"/>
          <w:kern w:val="2"/>
          <w:sz w:val="32"/>
          <w:szCs w:val="32"/>
          <w:lang w:val="en-US" w:eastAsia="zh-CN" w:bidi="ar-SA"/>
        </w:rPr>
        <w:t>法治思想为指导，扎实开展各项工作，切实增强“四个意识”，坚定“四个自信”，做到“两个维护”。2021年及时妥善处置省政府门前非正常上访765批次，安全疏导分流非访人员3282人次，同时与太原市公安局处置专班、分局巡警大队、公管中心、坞城派出所建立联防联动工作机制，在省政府周边实行常态化动中备勤，严厉打击信访活动中的违法犯罪行为，维护法律权威，确保省政府门前信访秩序持续平稳，也为社会大局稳定做出了突出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DejaVu Sans Mono"/>
    <w:panose1 w:val="020B0603030804020204"/>
    <w:charset w:val="00"/>
    <w:family w:val="auto"/>
    <w:pitch w:val="default"/>
    <w:sig w:usb0="00000000" w:usb1="00000000"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宋体S-超大字符集">
    <w:altName w:val="宋体"/>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DejaVu Sans Mono">
    <w:panose1 w:val="020B0609030804020204"/>
    <w:charset w:val="00"/>
    <w:family w:val="auto"/>
    <w:pitch w:val="default"/>
    <w:sig w:usb0="E60026FF" w:usb1="D200F9FB" w:usb2="02000028" w:usb3="00000000" w:csb0="600001DF" w:csb1="DFD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37284"/>
    <w:rsid w:val="08C37284"/>
    <w:rsid w:val="48245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2">
    <w:name w:val="UserStyle_0"/>
    <w:link w:val="1"/>
    <w:semiHidden/>
    <w:qFormat/>
    <w:uiPriority w:val="0"/>
    <w:rPr>
      <w:rFonts w:ascii="Calibri" w:hAnsi="Calibri" w:eastAsia="宋体" w:cstheme="minorBidi"/>
      <w:kern w:val="2"/>
      <w:sz w:val="21"/>
      <w:szCs w:val="24"/>
      <w:lang w:val="en-US" w:eastAsia="zh-CN" w:bidi="ar-SA"/>
    </w:rPr>
  </w:style>
  <w:style w:type="character" w:customStyle="1" w:styleId="5">
    <w:name w:val="NormalCharacter"/>
    <w:link w:val="1"/>
    <w:semiHidden/>
    <w:qFormat/>
    <w:uiPriority w:val="0"/>
  </w:style>
  <w:style w:type="paragraph" w:customStyle="1" w:styleId="6">
    <w:name w:val="Heading3"/>
    <w:basedOn w:val="1"/>
    <w:next w:val="1"/>
    <w:qFormat/>
    <w:uiPriority w:val="0"/>
    <w:pPr>
      <w:spacing w:before="100" w:beforeAutospacing="1" w:after="100" w:afterAutospacing="1"/>
      <w:jc w:val="left"/>
      <w:textAlignment w:val="baseline"/>
    </w:pPr>
    <w:rPr>
      <w:rFonts w:ascii="宋体" w:hAnsi="宋体" w:eastAsia="宋体"/>
      <w:b/>
      <w:kern w:val="0"/>
      <w:sz w:val="27"/>
      <w:szCs w:val="27"/>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2022-08-07T05:42:00Z</dcterms:created>
  <dc:creator>89193</dc:creator>
  <cp:lastModifiedBy>89193</cp:lastModifiedBy>
  <dcterms:modified xsi:type="dcterms:W3CDTF">2022-09-07T08:34:28Z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